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A97" w:rsidRPr="00590C3B" w:rsidRDefault="006C4B63">
      <w:pPr>
        <w:rPr>
          <w:b/>
          <w:bCs/>
          <w:sz w:val="24"/>
          <w:szCs w:val="24"/>
        </w:rPr>
      </w:pPr>
      <w:r w:rsidRPr="00590C3B">
        <w:rPr>
          <w:b/>
          <w:bCs/>
          <w:sz w:val="24"/>
          <w:szCs w:val="24"/>
        </w:rPr>
        <w:t>Transmisión directa vs enfoque constructivista</w:t>
      </w:r>
    </w:p>
    <w:p w:rsidR="00253136" w:rsidRDefault="006C4B63" w:rsidP="00590C3B">
      <w:pPr>
        <w:jc w:val="both"/>
      </w:pPr>
      <w:r>
        <w:t xml:space="preserve">Este artículo de 2009 se centra en arrojar los datos sobre el tipo de enseñanza que se impartía en los centros en aquella época, concretamente distingue entre enfoque constructivista o transmisión directa del conocimiento. </w:t>
      </w:r>
    </w:p>
    <w:p w:rsidR="006C4B63" w:rsidRDefault="006C4B63" w:rsidP="00590C3B">
      <w:pPr>
        <w:jc w:val="both"/>
      </w:pPr>
      <w:r>
        <w:t xml:space="preserve">El aprendizaje por transmisión directa </w:t>
      </w:r>
      <w:r w:rsidR="00253136">
        <w:t>consiste en la exposición del conocimiento por parte del profesor, que de manera ordenada lo expone a los alumnos, y cuida de que estos lo absorban, coordinando ejemplos prácticos y tareas. De manera informal se puede referir a esta práctica como la enseñanza “de toda la vida”, ya que ha sido la más tradicional, al menos en este país, desde hace mucho tiempo.</w:t>
      </w:r>
    </w:p>
    <w:p w:rsidR="00253136" w:rsidRDefault="00253136" w:rsidP="00590C3B">
      <w:pPr>
        <w:jc w:val="both"/>
      </w:pPr>
      <w:r>
        <w:t>El enfoque constructivista se refiere, por el contrario, a una mayor participación del alumnado en el proceso de aprendizaje. Esta vía persigue la participación</w:t>
      </w:r>
      <w:r w:rsidR="002A64C6">
        <w:t xml:space="preserve"> activa</w:t>
      </w:r>
      <w:r>
        <w:t xml:space="preserve"> de la clase que, aunque dirigida por el profesor, aprende de manera lo más autónoma posible. Un ejemplo de esto puede ser la conformación de cierta parte del temario mediante trabajos realizados por cada uno de los miembros de la clase.</w:t>
      </w:r>
    </w:p>
    <w:p w:rsidR="002A64C6" w:rsidRDefault="002A64C6" w:rsidP="00590C3B">
      <w:pPr>
        <w:jc w:val="both"/>
      </w:pPr>
      <w:r>
        <w:t>Aunque no existe un consenso total sobre qué tipo de enseñanza es la mejor, este artículo viene a mostrar una comparación entre los docentes de los distintos países de la unión europea. Así, según el informe TALIS, publicado por la OCDE y que recogió datos en los años 2007-2009</w:t>
      </w:r>
      <w:r w:rsidR="00590C3B">
        <w:t>, en casi todos los países de la unión Europea la tendencia es hacia el constructivismo, especialmente en Islandia y Austria, como se representa en el siguiente gráfico:</w:t>
      </w:r>
    </w:p>
    <w:p w:rsidR="00590C3B" w:rsidRDefault="00590C3B" w:rsidP="00590C3B">
      <w:pPr>
        <w:jc w:val="both"/>
      </w:pPr>
      <w:r>
        <w:rPr>
          <w:noProof/>
        </w:rPr>
        <w:drawing>
          <wp:inline distT="0" distB="0" distL="0" distR="0" wp14:anchorId="55C128BA" wp14:editId="7C05C7FC">
            <wp:extent cx="5400040" cy="3527425"/>
            <wp:effectExtent l="0" t="0" r="10160" b="15875"/>
            <wp:docPr id="1" name="Gráfico 1">
              <a:extLst xmlns:a="http://schemas.openxmlformats.org/drawingml/2006/main">
                <a:ext uri="{FF2B5EF4-FFF2-40B4-BE49-F238E27FC236}">
                  <a16:creationId xmlns:a16="http://schemas.microsoft.com/office/drawing/2014/main" id="{698393B8-4918-4301-9A24-D2917E3749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590C3B" w:rsidRDefault="00590C3B" w:rsidP="00590C3B">
      <w:pPr>
        <w:jc w:val="both"/>
      </w:pPr>
      <w:r>
        <w:t xml:space="preserve">Como se puede observar, y aunque los datos son antiguos, la tendencia es clara. Sin embargo, en Italia se sigue prefiriendo la transmisión directa mientras que en España la preferencia constructivista no es tan palpable como en los demás países de la UE. </w:t>
      </w:r>
    </w:p>
    <w:p w:rsidR="00A1645E" w:rsidRDefault="00A1645E" w:rsidP="00590C3B">
      <w:pPr>
        <w:jc w:val="both"/>
      </w:pPr>
      <w:r>
        <w:t>A falta de datos más actuales, prefiero no pronunciarme sobre el tema. Aunque la tendencia en  los países más avanzados es hacia el constructivismo y por lo tanto parece que el estilo directo va a desaparecer, no está claro si finalmente lo hará ni cuando.</w:t>
      </w:r>
      <w:bookmarkStart w:id="0" w:name="_GoBack"/>
      <w:bookmarkEnd w:id="0"/>
    </w:p>
    <w:p w:rsidR="00253136" w:rsidRDefault="00253136" w:rsidP="00590C3B">
      <w:pPr>
        <w:jc w:val="both"/>
      </w:pPr>
    </w:p>
    <w:sectPr w:rsidR="0025313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63"/>
    <w:rsid w:val="00054A97"/>
    <w:rsid w:val="00253136"/>
    <w:rsid w:val="002A64C6"/>
    <w:rsid w:val="00590C3B"/>
    <w:rsid w:val="006C4B63"/>
    <w:rsid w:val="00A16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1126"/>
  <w15:chartTrackingRefBased/>
  <w15:docId w15:val="{A70E5633-1B72-43D6-9D1B-5A82D205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Julio\Downloads\962009061P1G02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75" b="0" i="0" u="none" strike="noStrike" baseline="0">
                <a:solidFill>
                  <a:srgbClr val="000000"/>
                </a:solidFill>
                <a:latin typeface="Times New Roman"/>
                <a:ea typeface="Times New Roman"/>
                <a:cs typeface="Times New Roman"/>
              </a:defRPr>
            </a:pPr>
            <a:r>
              <a:rPr lang="es-ES" sz="1100" b="1" i="0" u="none" strike="noStrike" baseline="0">
                <a:solidFill>
                  <a:srgbClr val="000000"/>
                </a:solidFill>
                <a:latin typeface="Times New Roman"/>
                <a:cs typeface="Times New Roman"/>
              </a:rPr>
              <a:t>Chart D6.2. Country profiles of beliefs about the nature of teaching and learning (2007-08)</a:t>
            </a:r>
          </a:p>
          <a:p>
            <a:pPr>
              <a:defRPr sz="1075" b="0" i="0" u="none" strike="noStrike" baseline="0">
                <a:solidFill>
                  <a:srgbClr val="000000"/>
                </a:solidFill>
                <a:latin typeface="Times New Roman"/>
                <a:ea typeface="Times New Roman"/>
                <a:cs typeface="Times New Roman"/>
              </a:defRPr>
            </a:pPr>
            <a:r>
              <a:rPr lang="es-ES" sz="1100" b="0" i="1" u="none" strike="noStrike" baseline="0">
                <a:solidFill>
                  <a:srgbClr val="000000"/>
                </a:solidFill>
                <a:latin typeface="Times New Roman"/>
                <a:cs typeface="Times New Roman"/>
              </a:rPr>
              <a:t>Country mean of ipsative scores </a:t>
            </a:r>
          </a:p>
        </c:rich>
      </c:tx>
      <c:layout>
        <c:manualLayout>
          <c:xMode val="edge"/>
          <c:yMode val="edge"/>
          <c:x val="0.238921547293794"/>
          <c:y val="2.1521651486354175E-2"/>
        </c:manualLayout>
      </c:layout>
      <c:overlay val="1"/>
    </c:title>
    <c:autoTitleDeleted val="0"/>
    <c:plotArea>
      <c:layout>
        <c:manualLayout>
          <c:layoutTarget val="inner"/>
          <c:xMode val="edge"/>
          <c:yMode val="edge"/>
          <c:x val="0.12170185158332129"/>
          <c:y val="0.23224791810601716"/>
          <c:w val="0.77322722957502665"/>
          <c:h val="0.40571077859980526"/>
        </c:manualLayout>
      </c:layout>
      <c:lineChart>
        <c:grouping val="standard"/>
        <c:varyColors val="0"/>
        <c:ser>
          <c:idx val="0"/>
          <c:order val="0"/>
          <c:tx>
            <c:strRef>
              <c:f>'[962009061P1G025.XLS]Data Ch D6.2'!$B$8</c:f>
              <c:strCache>
                <c:ptCount val="1"/>
                <c:pt idx="0">
                  <c:v>Direct transmission beliefs</c:v>
                </c:pt>
              </c:strCache>
            </c:strRef>
          </c:tx>
          <c:spPr>
            <a:ln w="25400">
              <a:noFill/>
              <a:prstDash val="solid"/>
            </a:ln>
          </c:spPr>
          <c:marker>
            <c:symbol val="diamond"/>
            <c:size val="9"/>
            <c:spPr>
              <a:solidFill>
                <a:srgbClr val="0070C0"/>
              </a:solidFill>
              <a:ln>
                <a:noFill/>
                <a:prstDash val="solid"/>
              </a:ln>
            </c:spPr>
          </c:marker>
          <c:cat>
            <c:strRef>
              <c:f>'[962009061P1G025.XLS]Data Ch D6.2'!$A$9:$A$31</c:f>
              <c:strCache>
                <c:ptCount val="23"/>
                <c:pt idx="0">
                  <c:v>Iceland</c:v>
                </c:pt>
                <c:pt idx="1">
                  <c:v>Austria</c:v>
                </c:pt>
                <c:pt idx="2">
                  <c:v>Australia</c:v>
                </c:pt>
                <c:pt idx="3">
                  <c:v>Denmark</c:v>
                </c:pt>
                <c:pt idx="4">
                  <c:v>Estonia</c:v>
                </c:pt>
                <c:pt idx="5">
                  <c:v>Belgium (Fl.)</c:v>
                </c:pt>
                <c:pt idx="6">
                  <c:v>Malta</c:v>
                </c:pt>
                <c:pt idx="7">
                  <c:v>Korea</c:v>
                </c:pt>
                <c:pt idx="8">
                  <c:v>Slovenia</c:v>
                </c:pt>
                <c:pt idx="9">
                  <c:v>Slovak Republic</c:v>
                </c:pt>
                <c:pt idx="10">
                  <c:v>Norway</c:v>
                </c:pt>
                <c:pt idx="11">
                  <c:v>Poland</c:v>
                </c:pt>
                <c:pt idx="12">
                  <c:v>Turkey</c:v>
                </c:pt>
                <c:pt idx="13">
                  <c:v>Hungary</c:v>
                </c:pt>
                <c:pt idx="14">
                  <c:v>Mexico</c:v>
                </c:pt>
                <c:pt idx="15">
                  <c:v>Ireland</c:v>
                </c:pt>
                <c:pt idx="16">
                  <c:v>Lithuania</c:v>
                </c:pt>
                <c:pt idx="17">
                  <c:v>Brazil</c:v>
                </c:pt>
                <c:pt idx="18">
                  <c:v>Portugal</c:v>
                </c:pt>
                <c:pt idx="19">
                  <c:v>Spain</c:v>
                </c:pt>
                <c:pt idx="20">
                  <c:v>Bulgaria</c:v>
                </c:pt>
                <c:pt idx="21">
                  <c:v>Malaysia</c:v>
                </c:pt>
                <c:pt idx="22">
                  <c:v>Italy</c:v>
                </c:pt>
              </c:strCache>
            </c:strRef>
          </c:cat>
          <c:val>
            <c:numRef>
              <c:f>'[962009061P1G025.XLS]Data Ch D6.2'!$B$9:$B$31</c:f>
              <c:numCache>
                <c:formatCode>0.0000</c:formatCode>
                <c:ptCount val="23"/>
                <c:pt idx="0">
                  <c:v>-0.33540121019586439</c:v>
                </c:pt>
                <c:pt idx="1">
                  <c:v>-0.25228338501273517</c:v>
                </c:pt>
                <c:pt idx="2">
                  <c:v>-0.22715548006609051</c:v>
                </c:pt>
                <c:pt idx="3">
                  <c:v>-0.22300601946469586</c:v>
                </c:pt>
                <c:pt idx="4">
                  <c:v>-0.22198628665321146</c:v>
                </c:pt>
                <c:pt idx="5">
                  <c:v>-0.2107840273077479</c:v>
                </c:pt>
                <c:pt idx="6">
                  <c:v>-0.19012747185414963</c:v>
                </c:pt>
                <c:pt idx="7">
                  <c:v>-0.17697352502052929</c:v>
                </c:pt>
                <c:pt idx="8">
                  <c:v>-0.16969725979444597</c:v>
                </c:pt>
                <c:pt idx="9">
                  <c:v>-0.16521014314664464</c:v>
                </c:pt>
                <c:pt idx="10">
                  <c:v>-0.16303299964170176</c:v>
                </c:pt>
                <c:pt idx="11">
                  <c:v>-0.16165515075627562</c:v>
                </c:pt>
                <c:pt idx="12">
                  <c:v>-0.16067541158815576</c:v>
                </c:pt>
                <c:pt idx="13">
                  <c:v>-0.1428187643440513</c:v>
                </c:pt>
                <c:pt idx="14">
                  <c:v>-0.12155118067201115</c:v>
                </c:pt>
                <c:pt idx="15">
                  <c:v>-0.11731498479904778</c:v>
                </c:pt>
                <c:pt idx="16">
                  <c:v>-0.11615191644756781</c:v>
                </c:pt>
                <c:pt idx="17">
                  <c:v>-0.10582487430678776</c:v>
                </c:pt>
                <c:pt idx="18">
                  <c:v>-9.7035499201761743E-2</c:v>
                </c:pt>
                <c:pt idx="19">
                  <c:v>-6.919927910483363E-2</c:v>
                </c:pt>
                <c:pt idx="20">
                  <c:v>-4.1323443229690629E-2</c:v>
                </c:pt>
                <c:pt idx="21">
                  <c:v>-2.7053866025739601E-2</c:v>
                </c:pt>
                <c:pt idx="22">
                  <c:v>2.6956889119542447E-2</c:v>
                </c:pt>
              </c:numCache>
            </c:numRef>
          </c:val>
          <c:smooth val="0"/>
          <c:extLst>
            <c:ext xmlns:c16="http://schemas.microsoft.com/office/drawing/2014/chart" uri="{C3380CC4-5D6E-409C-BE32-E72D297353CC}">
              <c16:uniqueId val="{00000000-0C04-4595-829C-CD2CEA463DFD}"/>
            </c:ext>
          </c:extLst>
        </c:ser>
        <c:ser>
          <c:idx val="2"/>
          <c:order val="1"/>
          <c:tx>
            <c:strRef>
              <c:f>'[962009061P1G025.XLS]Data Ch D6.2'!$C$8</c:f>
              <c:strCache>
                <c:ptCount val="1"/>
                <c:pt idx="0">
                  <c:v>Constructivist beliefs</c:v>
                </c:pt>
              </c:strCache>
            </c:strRef>
          </c:tx>
          <c:spPr>
            <a:ln w="12700">
              <a:noFill/>
              <a:prstDash val="solid"/>
            </a:ln>
          </c:spPr>
          <c:marker>
            <c:symbol val="triangle"/>
            <c:size val="9"/>
            <c:spPr>
              <a:solidFill>
                <a:srgbClr val="00B0F0"/>
              </a:solidFill>
              <a:ln>
                <a:solidFill>
                  <a:srgbClr val="99CCFF"/>
                </a:solidFill>
                <a:prstDash val="solid"/>
              </a:ln>
            </c:spPr>
          </c:marker>
          <c:cat>
            <c:strRef>
              <c:f>'[962009061P1G025.XLS]Data Ch D6.2'!$A$9:$A$31</c:f>
              <c:strCache>
                <c:ptCount val="23"/>
                <c:pt idx="0">
                  <c:v>Iceland</c:v>
                </c:pt>
                <c:pt idx="1">
                  <c:v>Austria</c:v>
                </c:pt>
                <c:pt idx="2">
                  <c:v>Australia</c:v>
                </c:pt>
                <c:pt idx="3">
                  <c:v>Denmark</c:v>
                </c:pt>
                <c:pt idx="4">
                  <c:v>Estonia</c:v>
                </c:pt>
                <c:pt idx="5">
                  <c:v>Belgium (Fl.)</c:v>
                </c:pt>
                <c:pt idx="6">
                  <c:v>Malta</c:v>
                </c:pt>
                <c:pt idx="7">
                  <c:v>Korea</c:v>
                </c:pt>
                <c:pt idx="8">
                  <c:v>Slovenia</c:v>
                </c:pt>
                <c:pt idx="9">
                  <c:v>Slovak Republic</c:v>
                </c:pt>
                <c:pt idx="10">
                  <c:v>Norway</c:v>
                </c:pt>
                <c:pt idx="11">
                  <c:v>Poland</c:v>
                </c:pt>
                <c:pt idx="12">
                  <c:v>Turkey</c:v>
                </c:pt>
                <c:pt idx="13">
                  <c:v>Hungary</c:v>
                </c:pt>
                <c:pt idx="14">
                  <c:v>Mexico</c:v>
                </c:pt>
                <c:pt idx="15">
                  <c:v>Ireland</c:v>
                </c:pt>
                <c:pt idx="16">
                  <c:v>Lithuania</c:v>
                </c:pt>
                <c:pt idx="17">
                  <c:v>Brazil</c:v>
                </c:pt>
                <c:pt idx="18">
                  <c:v>Portugal</c:v>
                </c:pt>
                <c:pt idx="19">
                  <c:v>Spain</c:v>
                </c:pt>
                <c:pt idx="20">
                  <c:v>Bulgaria</c:v>
                </c:pt>
                <c:pt idx="21">
                  <c:v>Malaysia</c:v>
                </c:pt>
                <c:pt idx="22">
                  <c:v>Italy</c:v>
                </c:pt>
              </c:strCache>
            </c:strRef>
          </c:cat>
          <c:val>
            <c:numRef>
              <c:f>'[962009061P1G025.XLS]Data Ch D6.2'!$C$9:$C$31</c:f>
              <c:numCache>
                <c:formatCode>0.0000</c:formatCode>
                <c:ptCount val="23"/>
                <c:pt idx="0">
                  <c:v>0.335401210195864</c:v>
                </c:pt>
                <c:pt idx="1">
                  <c:v>0.25228338501273501</c:v>
                </c:pt>
                <c:pt idx="2">
                  <c:v>0.22715548006609099</c:v>
                </c:pt>
                <c:pt idx="3">
                  <c:v>0.223006019464696</c:v>
                </c:pt>
                <c:pt idx="4">
                  <c:v>0.22198628665321099</c:v>
                </c:pt>
                <c:pt idx="5">
                  <c:v>0.21078402730774801</c:v>
                </c:pt>
                <c:pt idx="6">
                  <c:v>0.19012747185414999</c:v>
                </c:pt>
                <c:pt idx="7">
                  <c:v>0.17697352502052899</c:v>
                </c:pt>
                <c:pt idx="8">
                  <c:v>0.169697259794446</c:v>
                </c:pt>
                <c:pt idx="9">
                  <c:v>0.16521014314664501</c:v>
                </c:pt>
                <c:pt idx="10">
                  <c:v>0.16303299964170201</c:v>
                </c:pt>
                <c:pt idx="11">
                  <c:v>0.16165515075627601</c:v>
                </c:pt>
                <c:pt idx="12">
                  <c:v>0.16067541158815599</c:v>
                </c:pt>
                <c:pt idx="13">
                  <c:v>0.142818764344051</c:v>
                </c:pt>
                <c:pt idx="14">
                  <c:v>0.121551180672011</c:v>
                </c:pt>
                <c:pt idx="15">
                  <c:v>0.11731498479904801</c:v>
                </c:pt>
                <c:pt idx="16">
                  <c:v>0.116151916447568</c:v>
                </c:pt>
                <c:pt idx="17">
                  <c:v>0.105824874306788</c:v>
                </c:pt>
                <c:pt idx="18">
                  <c:v>9.7035499201761702E-2</c:v>
                </c:pt>
                <c:pt idx="19">
                  <c:v>6.9199279104833603E-2</c:v>
                </c:pt>
                <c:pt idx="20">
                  <c:v>4.1323443229690601E-2</c:v>
                </c:pt>
                <c:pt idx="21">
                  <c:v>2.7053866025739601E-2</c:v>
                </c:pt>
                <c:pt idx="22">
                  <c:v>-2.6956889119542402E-2</c:v>
                </c:pt>
              </c:numCache>
            </c:numRef>
          </c:val>
          <c:smooth val="0"/>
          <c:extLst>
            <c:ext xmlns:c16="http://schemas.microsoft.com/office/drawing/2014/chart" uri="{C3380CC4-5D6E-409C-BE32-E72D297353CC}">
              <c16:uniqueId val="{00000001-0C04-4595-829C-CD2CEA463DFD}"/>
            </c:ext>
          </c:extLst>
        </c:ser>
        <c:dLbls>
          <c:showLegendKey val="0"/>
          <c:showVal val="0"/>
          <c:showCatName val="0"/>
          <c:showSerName val="0"/>
          <c:showPercent val="0"/>
          <c:showBubbleSize val="0"/>
        </c:dLbls>
        <c:marker val="1"/>
        <c:smooth val="0"/>
        <c:axId val="1019030655"/>
        <c:axId val="1"/>
      </c:lineChart>
      <c:catAx>
        <c:axId val="1019030655"/>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075" b="0" i="0" u="none" strike="noStrike" baseline="0">
                <a:solidFill>
                  <a:srgbClr val="000000"/>
                </a:solidFill>
                <a:latin typeface="Times New Roman"/>
                <a:ea typeface="Times New Roman"/>
                <a:cs typeface="Times New Roman"/>
              </a:defRPr>
            </a:pPr>
            <a:endParaRPr lang="es-ES"/>
          </a:p>
        </c:txPr>
        <c:crossAx val="1"/>
        <c:crossesAt val="-1.5"/>
        <c:auto val="1"/>
        <c:lblAlgn val="ctr"/>
        <c:lblOffset val="0"/>
        <c:tickLblSkip val="1"/>
        <c:tickMarkSkip val="1"/>
        <c:noMultiLvlLbl val="0"/>
      </c:catAx>
      <c:valAx>
        <c:axId val="1"/>
        <c:scaling>
          <c:orientation val="minMax"/>
        </c:scaling>
        <c:delete val="0"/>
        <c:axPos val="l"/>
        <c:majorGridlines>
          <c:spPr>
            <a:ln w="3175">
              <a:solidFill>
                <a:srgbClr val="000000"/>
              </a:solidFill>
              <a:prstDash val="solid"/>
            </a:ln>
          </c:spPr>
        </c:majorGridlines>
        <c:title>
          <c:tx>
            <c:strRef>
              <c:f>'[962009061P1G025.XLS]Data Ch D6.2'!$C$7</c:f>
              <c:strCache>
                <c:ptCount val="1"/>
                <c:pt idx="0">
                  <c:v>Mean of ipsative scores</c:v>
                </c:pt>
              </c:strCache>
            </c:strRef>
          </c:tx>
          <c:layout>
            <c:manualLayout>
              <c:xMode val="edge"/>
              <c:yMode val="edge"/>
              <c:x val="3.482362043536779E-2"/>
              <c:y val="0.12963312187857395"/>
            </c:manualLayout>
          </c:layout>
          <c:overlay val="0"/>
          <c:spPr>
            <a:noFill/>
            <a:ln w="25400">
              <a:noFill/>
            </a:ln>
          </c:spPr>
          <c:txPr>
            <a:bodyPr rot="0" vert="horz"/>
            <a:lstStyle/>
            <a:p>
              <a:pPr algn="ctr">
                <a:defRPr sz="1075" b="0" i="0" u="none" strike="noStrike" baseline="0">
                  <a:solidFill>
                    <a:srgbClr val="000000"/>
                  </a:solidFill>
                  <a:latin typeface="Times New Roman"/>
                  <a:ea typeface="Times New Roman"/>
                  <a:cs typeface="Times New Roman"/>
                </a:defRPr>
              </a:pPr>
              <a:endParaRPr lang="es-ES"/>
            </a:p>
          </c:txPr>
        </c:title>
        <c:numFmt formatCode="0.0" sourceLinked="0"/>
        <c:majorTickMark val="out"/>
        <c:minorTickMark val="none"/>
        <c:tickLblPos val="nextTo"/>
        <c:spPr>
          <a:ln w="3175">
            <a:solidFill>
              <a:srgbClr val="000000"/>
            </a:solidFill>
            <a:prstDash val="solid"/>
          </a:ln>
        </c:spPr>
        <c:txPr>
          <a:bodyPr rot="0" vert="horz"/>
          <a:lstStyle/>
          <a:p>
            <a:pPr>
              <a:defRPr sz="1075" b="0" i="0" u="none" strike="noStrike" baseline="0">
                <a:solidFill>
                  <a:srgbClr val="000000"/>
                </a:solidFill>
                <a:latin typeface="Times New Roman"/>
                <a:ea typeface="Times New Roman"/>
                <a:cs typeface="Times New Roman"/>
              </a:defRPr>
            </a:pPr>
            <a:endParaRPr lang="es-ES"/>
          </a:p>
        </c:txPr>
        <c:crossAx val="1019030655"/>
        <c:crosses val="autoZero"/>
        <c:crossBetween val="between"/>
      </c:valAx>
      <c:spPr>
        <a:noFill/>
        <a:ln w="25400">
          <a:noFill/>
        </a:ln>
      </c:spPr>
    </c:plotArea>
    <c:legend>
      <c:legendPos val="r"/>
      <c:layout>
        <c:manualLayout>
          <c:xMode val="edge"/>
          <c:yMode val="edge"/>
          <c:x val="0.15846994535519127"/>
          <c:y val="0.16736401673640167"/>
          <c:w val="0.73087431693989069"/>
          <c:h val="4.9163179916317995E-2"/>
        </c:manualLayout>
      </c:layout>
      <c:overlay val="0"/>
      <c:txPr>
        <a:bodyPr/>
        <a:lstStyle/>
        <a:p>
          <a:pPr>
            <a:defRPr sz="900" b="0" i="0" u="none" strike="noStrike" baseline="0">
              <a:solidFill>
                <a:srgbClr val="000000"/>
              </a:solidFill>
              <a:latin typeface="Times New Roman"/>
              <a:ea typeface="Times New Roman"/>
              <a:cs typeface="Times New Roman"/>
            </a:defRPr>
          </a:pPr>
          <a:endParaRPr lang="es-ES"/>
        </a:p>
      </c:txPr>
    </c:legend>
    <c:plotVisOnly val="1"/>
    <c:dispBlanksAs val="gap"/>
    <c:showDLblsOverMax val="0"/>
  </c:chart>
  <c:spPr>
    <a:solidFill>
      <a:srgbClr val="FFFFFF"/>
    </a:solidFill>
    <a:ln w="3175">
      <a:solidFill>
        <a:srgbClr val="000000"/>
      </a:solidFill>
      <a:prstDash val="solid"/>
    </a:ln>
  </c:spPr>
  <c:txPr>
    <a:bodyPr/>
    <a:lstStyle/>
    <a:p>
      <a:pPr>
        <a:defRPr sz="1075" b="0" i="0" u="none" strike="noStrike" baseline="0">
          <a:solidFill>
            <a:srgbClr val="000000"/>
          </a:solidFill>
          <a:latin typeface="Times New Roman"/>
          <a:ea typeface="Times New Roman"/>
          <a:cs typeface="Times New Roman"/>
        </a:defRPr>
      </a:pPr>
      <a:endParaRPr lang="es-E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0.05054</cdr:x>
      <cdr:y>0.83976</cdr:y>
    </cdr:from>
    <cdr:to>
      <cdr:x>0.94111</cdr:x>
      <cdr:y>0.96477</cdr:y>
    </cdr:to>
    <cdr:sp macro="" textlink="">
      <cdr:nvSpPr>
        <cdr:cNvPr id="2" name="TextBox 1"/>
        <cdr:cNvSpPr txBox="1"/>
      </cdr:nvSpPr>
      <cdr:spPr>
        <a:xfrm xmlns:a="http://schemas.openxmlformats.org/drawingml/2006/main">
          <a:off x="408830" y="4660106"/>
          <a:ext cx="7282146" cy="67621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000" i="1" baseline="0">
              <a:latin typeface="Times New Roman" pitchFamily="18" charset="0"/>
              <a:ea typeface="+mn-ea"/>
              <a:cs typeface="Times New Roman" pitchFamily="18" charset="0"/>
            </a:rPr>
            <a:t>Countries are ranked by the strength of preference among teachers in each country between direct transmission beliefs about teaching and constructivist  beliefs about teaching. So, teachers in Iceland show the strongest preference for constructivist beliefs, over direct transmission beliefs.</a:t>
          </a:r>
        </a:p>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000">
              <a:latin typeface="Times New Roman" pitchFamily="18" charset="0"/>
              <a:ea typeface="+mn-ea"/>
              <a:cs typeface="Times New Roman" pitchFamily="18" charset="0"/>
            </a:rPr>
            <a:t>S</a:t>
          </a:r>
          <a:r>
            <a:rPr lang="en-GB" sz="1000" i="1">
              <a:latin typeface="Times New Roman" pitchFamily="18" charset="0"/>
              <a:ea typeface="+mn-ea"/>
              <a:cs typeface="Times New Roman" pitchFamily="18" charset="0"/>
            </a:rPr>
            <a:t>ource</a:t>
          </a:r>
          <a:r>
            <a:rPr lang="en-GB" sz="1000">
              <a:latin typeface="Times New Roman" pitchFamily="18" charset="0"/>
              <a:ea typeface="+mn-ea"/>
              <a:cs typeface="Times New Roman" pitchFamily="18" charset="0"/>
            </a:rPr>
            <a:t>: OECD,</a:t>
          </a:r>
          <a:r>
            <a:rPr lang="en-GB" sz="1000" baseline="0">
              <a:latin typeface="Times New Roman" pitchFamily="18" charset="0"/>
              <a:ea typeface="+mn-ea"/>
              <a:cs typeface="Times New Roman" pitchFamily="18" charset="0"/>
            </a:rPr>
            <a:t> TALIS Database (2009).</a:t>
          </a:r>
          <a:endParaRPr lang="en-US" sz="1000">
            <a:latin typeface="Times New Roman" pitchFamily="18" charset="0"/>
            <a:ea typeface="+mn-ea"/>
            <a:cs typeface="Times New Roman" pitchFamily="18" charset="0"/>
          </a:endParaRPr>
        </a:p>
        <a:p xmlns:a="http://schemas.openxmlformats.org/drawingml/2006/main">
          <a:endParaRPr lang="en-US" sz="1000"/>
        </a:p>
      </cdr:txBody>
    </cdr:sp>
  </cdr:relSizeAnchor>
  <cdr:relSizeAnchor xmlns:cdr="http://schemas.openxmlformats.org/drawingml/2006/chartDrawing">
    <cdr:from>
      <cdr:x>0.04538</cdr:x>
      <cdr:y>0.84716</cdr:y>
    </cdr:from>
    <cdr:to>
      <cdr:x>0.91319</cdr:x>
      <cdr:y>0.87355</cdr:y>
    </cdr:to>
    <cdr:sp macro="" textlink="">
      <cdr:nvSpPr>
        <cdr:cNvPr id="3" name="TextBox 2"/>
        <cdr:cNvSpPr txBox="1"/>
      </cdr:nvSpPr>
      <cdr:spPr>
        <a:xfrm xmlns:a="http://schemas.openxmlformats.org/drawingml/2006/main">
          <a:off x="366713" y="4698206"/>
          <a:ext cx="7096125" cy="1428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314</Words>
  <Characters>1727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D. García López</dc:creator>
  <cp:keywords/>
  <dc:description/>
  <cp:lastModifiedBy>Julio D. García López</cp:lastModifiedBy>
  <cp:revision>3</cp:revision>
  <dcterms:created xsi:type="dcterms:W3CDTF">2019-10-07T15:25:00Z</dcterms:created>
  <dcterms:modified xsi:type="dcterms:W3CDTF">2019-10-07T16:01:00Z</dcterms:modified>
</cp:coreProperties>
</file>