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aconcuadrcula"/>
        <w:tblW w:w="5000" w:type="pct"/>
        <w:tblLook w:val="04A0"/>
      </w:tblPr>
      <w:tblGrid>
        <w:gridCol w:w="1526"/>
        <w:gridCol w:w="4112"/>
        <w:gridCol w:w="7584"/>
      </w:tblGrid>
      <w:tr w:rsidR="00904326" w:rsidTr="00F46038">
        <w:trPr>
          <w:trHeight w:val="683"/>
        </w:trPr>
        <w:tc>
          <w:tcPr>
            <w:tcW w:w="577" w:type="pct"/>
            <w:tcBorders>
              <w:top w:val="single" w:sz="12" w:space="0" w:color="auto"/>
              <w:left w:val="single" w:sz="12" w:space="0" w:color="auto"/>
              <w:bottom w:val="single" w:sz="12" w:space="0" w:color="auto"/>
              <w:right w:val="single" w:sz="12" w:space="0" w:color="auto"/>
            </w:tcBorders>
            <w:shd w:val="clear" w:color="auto" w:fill="C2D69B" w:themeFill="accent3" w:themeFillTint="99"/>
            <w:vAlign w:val="center"/>
          </w:tcPr>
          <w:p w:rsidR="00AD2430" w:rsidRPr="00904326" w:rsidRDefault="00AD2430" w:rsidP="00725312">
            <w:pPr>
              <w:jc w:val="center"/>
              <w:rPr>
                <w:rFonts w:ascii="Calibri" w:eastAsia="Calibri" w:hAnsi="Calibri" w:cs="Calibri"/>
                <w:b/>
              </w:rPr>
            </w:pPr>
            <w:r w:rsidRPr="00904326">
              <w:rPr>
                <w:rFonts w:ascii="Calibri" w:eastAsia="Calibri" w:hAnsi="Calibri" w:cs="Calibri"/>
                <w:b/>
              </w:rPr>
              <w:t xml:space="preserve">Nombre </w:t>
            </w:r>
            <w:proofErr w:type="spellStart"/>
            <w:r w:rsidRPr="00904326">
              <w:rPr>
                <w:rFonts w:ascii="Calibri" w:eastAsia="Calibri" w:hAnsi="Calibri" w:cs="Calibri"/>
                <w:b/>
              </w:rPr>
              <w:t>compañer@</w:t>
            </w:r>
            <w:proofErr w:type="spellEnd"/>
          </w:p>
          <w:p w:rsidR="00AD2430" w:rsidRPr="0080616E" w:rsidRDefault="00AD2430" w:rsidP="00725312">
            <w:pPr>
              <w:jc w:val="center"/>
              <w:rPr>
                <w:rFonts w:ascii="Calibri" w:eastAsia="Calibri" w:hAnsi="Calibri" w:cs="Calibri"/>
                <w:b/>
              </w:rPr>
            </w:pPr>
          </w:p>
        </w:tc>
        <w:tc>
          <w:tcPr>
            <w:tcW w:w="1555" w:type="pct"/>
            <w:tcBorders>
              <w:top w:val="single" w:sz="12" w:space="0" w:color="auto"/>
              <w:left w:val="single" w:sz="12" w:space="0" w:color="auto"/>
              <w:bottom w:val="single" w:sz="12" w:space="0" w:color="auto"/>
              <w:right w:val="single" w:sz="12" w:space="0" w:color="auto"/>
            </w:tcBorders>
            <w:shd w:val="clear" w:color="auto" w:fill="C2D69B" w:themeFill="accent3" w:themeFillTint="99"/>
            <w:vAlign w:val="center"/>
          </w:tcPr>
          <w:p w:rsidR="00AD2430" w:rsidRPr="0080616E" w:rsidRDefault="00AD2430" w:rsidP="00725312">
            <w:pPr>
              <w:jc w:val="center"/>
              <w:rPr>
                <w:rFonts w:ascii="Calibri" w:eastAsia="Calibri" w:hAnsi="Calibri" w:cs="Calibri"/>
                <w:b/>
              </w:rPr>
            </w:pPr>
            <w:r w:rsidRPr="0080616E">
              <w:rPr>
                <w:rFonts w:ascii="Calibri" w:eastAsia="Calibri" w:hAnsi="Calibri" w:cs="Calibri"/>
                <w:b/>
              </w:rPr>
              <w:t xml:space="preserve">Comentarios </w:t>
            </w:r>
            <w:r w:rsidRPr="00AD2430">
              <w:rPr>
                <w:rFonts w:cs="Calibri"/>
                <w:b/>
                <w:i/>
                <w:u w:val="single"/>
              </w:rPr>
              <w:t>de</w:t>
            </w:r>
            <w:r w:rsidRPr="0080616E">
              <w:rPr>
                <w:rFonts w:ascii="Calibri" w:eastAsia="Calibri" w:hAnsi="Calibri" w:cs="Calibri"/>
                <w:b/>
              </w:rPr>
              <w:t xml:space="preserve"> </w:t>
            </w:r>
            <w:proofErr w:type="spellStart"/>
            <w:r>
              <w:rPr>
                <w:rFonts w:cs="Calibri"/>
                <w:b/>
              </w:rPr>
              <w:t>l@s</w:t>
            </w:r>
            <w:proofErr w:type="spellEnd"/>
            <w:r w:rsidRPr="0080616E">
              <w:rPr>
                <w:rFonts w:ascii="Calibri" w:eastAsia="Calibri" w:hAnsi="Calibri" w:cs="Calibri"/>
                <w:b/>
              </w:rPr>
              <w:t xml:space="preserve"> </w:t>
            </w:r>
            <w:proofErr w:type="spellStart"/>
            <w:r w:rsidRPr="0080616E">
              <w:rPr>
                <w:rFonts w:ascii="Calibri" w:eastAsia="Calibri" w:hAnsi="Calibri" w:cs="Calibri"/>
                <w:b/>
              </w:rPr>
              <w:t>compañer@s</w:t>
            </w:r>
            <w:proofErr w:type="spellEnd"/>
          </w:p>
        </w:tc>
        <w:tc>
          <w:tcPr>
            <w:tcW w:w="2868" w:type="pct"/>
            <w:tcBorders>
              <w:top w:val="single" w:sz="12" w:space="0" w:color="auto"/>
              <w:left w:val="single" w:sz="12" w:space="0" w:color="auto"/>
              <w:bottom w:val="single" w:sz="12" w:space="0" w:color="auto"/>
              <w:right w:val="single" w:sz="12" w:space="0" w:color="auto"/>
            </w:tcBorders>
            <w:shd w:val="clear" w:color="auto" w:fill="C2D69B" w:themeFill="accent3" w:themeFillTint="99"/>
            <w:vAlign w:val="center"/>
          </w:tcPr>
          <w:p w:rsidR="00AD2430" w:rsidRPr="0080616E" w:rsidRDefault="00AD2430" w:rsidP="00725312">
            <w:pPr>
              <w:jc w:val="center"/>
              <w:rPr>
                <w:rFonts w:ascii="Calibri" w:eastAsia="Calibri" w:hAnsi="Calibri" w:cs="Calibri"/>
                <w:b/>
              </w:rPr>
            </w:pPr>
            <w:r w:rsidRPr="0080616E">
              <w:rPr>
                <w:rFonts w:ascii="Calibri" w:eastAsia="Calibri" w:hAnsi="Calibri" w:cs="Calibri"/>
                <w:b/>
              </w:rPr>
              <w:t>Comentarios</w:t>
            </w:r>
            <w:r>
              <w:rPr>
                <w:rFonts w:cs="Calibri"/>
                <w:b/>
              </w:rPr>
              <w:t xml:space="preserve"> – respuesta </w:t>
            </w:r>
            <w:r w:rsidRPr="0080616E">
              <w:rPr>
                <w:rFonts w:ascii="Calibri" w:eastAsia="Calibri" w:hAnsi="Calibri" w:cs="Calibri"/>
                <w:b/>
              </w:rPr>
              <w:t xml:space="preserve"> </w:t>
            </w:r>
            <w:r w:rsidRPr="0080616E">
              <w:rPr>
                <w:rFonts w:ascii="Calibri" w:eastAsia="Calibri" w:hAnsi="Calibri" w:cs="Calibri"/>
                <w:b/>
                <w:i/>
                <w:u w:val="single"/>
              </w:rPr>
              <w:t>a</w:t>
            </w:r>
            <w:r w:rsidRPr="0080616E">
              <w:rPr>
                <w:rFonts w:ascii="Calibri" w:eastAsia="Calibri" w:hAnsi="Calibri" w:cs="Calibri"/>
                <w:b/>
              </w:rPr>
              <w:t xml:space="preserve"> </w:t>
            </w:r>
            <w:proofErr w:type="spellStart"/>
            <w:r>
              <w:rPr>
                <w:rFonts w:cs="Calibri"/>
                <w:b/>
              </w:rPr>
              <w:t>l@s</w:t>
            </w:r>
            <w:proofErr w:type="spellEnd"/>
            <w:r w:rsidRPr="0080616E">
              <w:rPr>
                <w:rFonts w:ascii="Calibri" w:eastAsia="Calibri" w:hAnsi="Calibri" w:cs="Calibri"/>
                <w:b/>
              </w:rPr>
              <w:t xml:space="preserve"> </w:t>
            </w:r>
            <w:proofErr w:type="spellStart"/>
            <w:r w:rsidRPr="0080616E">
              <w:rPr>
                <w:rFonts w:ascii="Calibri" w:eastAsia="Calibri" w:hAnsi="Calibri" w:cs="Calibri"/>
                <w:b/>
              </w:rPr>
              <w:t>compañer@s</w:t>
            </w:r>
            <w:proofErr w:type="spellEnd"/>
            <w:r w:rsidRPr="0080616E">
              <w:rPr>
                <w:rFonts w:ascii="Calibri" w:eastAsia="Calibri" w:hAnsi="Calibri" w:cs="Calibri"/>
                <w:b/>
              </w:rPr>
              <w:t xml:space="preserve"> </w:t>
            </w:r>
          </w:p>
        </w:tc>
      </w:tr>
      <w:tr w:rsidR="00904326" w:rsidTr="00F46038">
        <w:trPr>
          <w:trHeight w:val="270"/>
        </w:trPr>
        <w:tc>
          <w:tcPr>
            <w:tcW w:w="577" w:type="pct"/>
            <w:vMerge w:val="restart"/>
            <w:tcBorders>
              <w:top w:val="single" w:sz="12" w:space="0" w:color="auto"/>
              <w:left w:val="single" w:sz="12" w:space="0" w:color="auto"/>
            </w:tcBorders>
            <w:shd w:val="clear" w:color="auto" w:fill="EAF1DD" w:themeFill="accent3" w:themeFillTint="33"/>
            <w:vAlign w:val="center"/>
          </w:tcPr>
          <w:p w:rsidR="00904326" w:rsidRPr="00904326" w:rsidRDefault="00904326" w:rsidP="00904326">
            <w:pPr>
              <w:jc w:val="center"/>
              <w:rPr>
                <w:b/>
              </w:rPr>
            </w:pPr>
            <w:r w:rsidRPr="00904326">
              <w:rPr>
                <w:b/>
              </w:rPr>
              <w:t>María del Mar Mota</w:t>
            </w:r>
          </w:p>
        </w:tc>
        <w:tc>
          <w:tcPr>
            <w:tcW w:w="1555" w:type="pct"/>
            <w:tcBorders>
              <w:top w:val="single" w:sz="12" w:space="0" w:color="auto"/>
            </w:tcBorders>
          </w:tcPr>
          <w:p w:rsidR="00904326" w:rsidRDefault="00904326" w:rsidP="00725312">
            <w:r w:rsidRPr="00045B71">
              <w:t>Con un fondo más claro, quedaría mejor, creo</w:t>
            </w:r>
            <w:r>
              <w:t>.</w:t>
            </w:r>
          </w:p>
        </w:tc>
        <w:tc>
          <w:tcPr>
            <w:tcW w:w="2868" w:type="pct"/>
            <w:tcBorders>
              <w:top w:val="single" w:sz="12" w:space="0" w:color="auto"/>
              <w:right w:val="single" w:sz="12" w:space="0" w:color="auto"/>
            </w:tcBorders>
          </w:tcPr>
          <w:p w:rsidR="00904326" w:rsidRDefault="00904326" w:rsidP="00725312">
            <w:r>
              <w:t>Gracias Mar. Lo cambié en la versión final junto al color de las palabras de enlace.</w:t>
            </w:r>
          </w:p>
        </w:tc>
      </w:tr>
      <w:tr w:rsidR="00904326" w:rsidTr="00F46038">
        <w:trPr>
          <w:trHeight w:val="270"/>
        </w:trPr>
        <w:tc>
          <w:tcPr>
            <w:tcW w:w="577" w:type="pct"/>
            <w:vMerge/>
            <w:tcBorders>
              <w:left w:val="single" w:sz="12" w:space="0" w:color="auto"/>
            </w:tcBorders>
            <w:shd w:val="clear" w:color="auto" w:fill="EAF1DD" w:themeFill="accent3" w:themeFillTint="33"/>
          </w:tcPr>
          <w:p w:rsidR="00904326" w:rsidRDefault="00904326" w:rsidP="00725312"/>
        </w:tc>
        <w:tc>
          <w:tcPr>
            <w:tcW w:w="1555" w:type="pct"/>
          </w:tcPr>
          <w:p w:rsidR="00904326" w:rsidRDefault="00904326" w:rsidP="00725312">
            <w:r w:rsidRPr="00F23E9B">
              <w:t>Quizás aquí pondría otros profesores</w:t>
            </w:r>
            <w:r>
              <w:t xml:space="preserve"> y profesoras</w:t>
            </w:r>
          </w:p>
        </w:tc>
        <w:tc>
          <w:tcPr>
            <w:tcW w:w="2868" w:type="pct"/>
            <w:tcBorders>
              <w:right w:val="single" w:sz="12" w:space="0" w:color="auto"/>
            </w:tcBorders>
          </w:tcPr>
          <w:p w:rsidR="00904326" w:rsidRDefault="00904326" w:rsidP="00725312">
            <w:r>
              <w:t xml:space="preserve">Mar. Lo adicioné, gracias. </w:t>
            </w:r>
          </w:p>
        </w:tc>
      </w:tr>
      <w:tr w:rsidR="00904326" w:rsidTr="00F46038">
        <w:trPr>
          <w:trHeight w:val="803"/>
        </w:trPr>
        <w:tc>
          <w:tcPr>
            <w:tcW w:w="577" w:type="pct"/>
            <w:vMerge/>
            <w:tcBorders>
              <w:left w:val="single" w:sz="12" w:space="0" w:color="auto"/>
            </w:tcBorders>
            <w:shd w:val="clear" w:color="auto" w:fill="EAF1DD" w:themeFill="accent3" w:themeFillTint="33"/>
          </w:tcPr>
          <w:p w:rsidR="00904326" w:rsidRDefault="00904326" w:rsidP="00725312"/>
        </w:tc>
        <w:tc>
          <w:tcPr>
            <w:tcW w:w="1555" w:type="pct"/>
          </w:tcPr>
          <w:p w:rsidR="00904326" w:rsidRPr="00F23E9B" w:rsidRDefault="00904326" w:rsidP="00725312">
            <w:r w:rsidRPr="008128CE">
              <w:t xml:space="preserve">No entiendo qué es </w:t>
            </w:r>
            <w:r>
              <w:t>“</w:t>
            </w:r>
            <w:r w:rsidRPr="008128CE">
              <w:t>la información disciplinar</w:t>
            </w:r>
            <w:r>
              <w:t>”</w:t>
            </w:r>
          </w:p>
        </w:tc>
        <w:tc>
          <w:tcPr>
            <w:tcW w:w="2868" w:type="pct"/>
            <w:tcBorders>
              <w:right w:val="single" w:sz="12" w:space="0" w:color="auto"/>
            </w:tcBorders>
          </w:tcPr>
          <w:p w:rsidR="00904326" w:rsidRDefault="00904326" w:rsidP="00725312">
            <w:r>
              <w:t>Con la información disciplinar me refería a los conocimientos que sobre la disciplina están en el horizonte de las fuentes de “información” que existen. Puse información y no “conocimiento” porque si bien es un conocimiento a nosotros nos llega como “información”. Pero entiendo que es confuso así que lo voy a cambiar por “información de la disciplina a enseñar”</w:t>
            </w:r>
          </w:p>
        </w:tc>
      </w:tr>
      <w:tr w:rsidR="00904326" w:rsidTr="00F46038">
        <w:trPr>
          <w:trHeight w:val="398"/>
        </w:trPr>
        <w:tc>
          <w:tcPr>
            <w:tcW w:w="577" w:type="pct"/>
            <w:vMerge/>
            <w:tcBorders>
              <w:left w:val="single" w:sz="12" w:space="0" w:color="auto"/>
            </w:tcBorders>
            <w:shd w:val="clear" w:color="auto" w:fill="EAF1DD" w:themeFill="accent3" w:themeFillTint="33"/>
          </w:tcPr>
          <w:p w:rsidR="00904326" w:rsidRDefault="00904326" w:rsidP="00725312"/>
        </w:tc>
        <w:tc>
          <w:tcPr>
            <w:tcW w:w="1555" w:type="pct"/>
          </w:tcPr>
          <w:p w:rsidR="00904326" w:rsidRPr="008128CE" w:rsidRDefault="00904326" w:rsidP="00725312">
            <w:r w:rsidRPr="002D300D">
              <w:t>Si es interrelación entonces doble flecha</w:t>
            </w:r>
            <w:r>
              <w:t>.</w:t>
            </w:r>
          </w:p>
        </w:tc>
        <w:tc>
          <w:tcPr>
            <w:tcW w:w="2868" w:type="pct"/>
            <w:tcBorders>
              <w:right w:val="single" w:sz="12" w:space="0" w:color="auto"/>
            </w:tcBorders>
          </w:tcPr>
          <w:p w:rsidR="00904326" w:rsidRDefault="00904326" w:rsidP="00725312">
            <w:r>
              <w:t>Cambiado en la versión final, gracias.</w:t>
            </w:r>
          </w:p>
        </w:tc>
      </w:tr>
      <w:tr w:rsidR="00904326" w:rsidTr="00F46038">
        <w:trPr>
          <w:trHeight w:val="243"/>
        </w:trPr>
        <w:tc>
          <w:tcPr>
            <w:tcW w:w="577" w:type="pct"/>
            <w:vMerge/>
            <w:tcBorders>
              <w:left w:val="single" w:sz="12" w:space="0" w:color="auto"/>
            </w:tcBorders>
            <w:shd w:val="clear" w:color="auto" w:fill="EAF1DD" w:themeFill="accent3" w:themeFillTint="33"/>
          </w:tcPr>
          <w:p w:rsidR="00904326" w:rsidRDefault="00904326" w:rsidP="00725312"/>
        </w:tc>
        <w:tc>
          <w:tcPr>
            <w:tcW w:w="1555" w:type="pct"/>
          </w:tcPr>
          <w:p w:rsidR="00904326" w:rsidRPr="002D300D" w:rsidRDefault="00904326" w:rsidP="00725312">
            <w:r>
              <w:t>Y</w:t>
            </w:r>
            <w:r w:rsidRPr="008E2317">
              <w:t>o po</w:t>
            </w:r>
            <w:r>
              <w:t>ndría un conector desde provien</w:t>
            </w:r>
            <w:r w:rsidRPr="008E2317">
              <w:t>en de hasta Proveniencia de aprendizajes y cambiaría este título por trayectoria vital del profesorado (o algo parecido)</w:t>
            </w:r>
          </w:p>
        </w:tc>
        <w:tc>
          <w:tcPr>
            <w:tcW w:w="2868" w:type="pct"/>
            <w:tcBorders>
              <w:right w:val="single" w:sz="12" w:space="0" w:color="auto"/>
            </w:tcBorders>
          </w:tcPr>
          <w:p w:rsidR="00904326" w:rsidRDefault="00904326" w:rsidP="00725312">
            <w:r>
              <w:t xml:space="preserve">Este término de “temporalidad de saberes” lo utilizo con base en uno de los autores (libro: los saberes del docente y su desarrollo profesional) en que me basé para añadir estos conceptos en el mapa, y trata de mostrar que: “[…] </w:t>
            </w:r>
            <w:r w:rsidRPr="00862643">
              <w:rPr>
                <w:i/>
              </w:rPr>
              <w:t>el saber profesional está, en cierto modo, en la confluencia entre varias fuentes de saberes provenientes de la historia de vida individual, de la sociedad, de la institución escolar, de los otros agentes educativos, de los lugares de formación, etc.</w:t>
            </w:r>
            <w:r>
              <w:t xml:space="preserve"> Ahora bien, cuando se movilizan estos saberes en las interacciones diarias en el aula, es imposible identificar inmediatamente sus orígenes: los gestos son fluidos y los pensamientos –poco importan las fuentes- convergen hacia la realización de la intención educativa del momento.” (</w:t>
            </w:r>
            <w:proofErr w:type="spellStart"/>
            <w:r>
              <w:t>Tardif</w:t>
            </w:r>
            <w:proofErr w:type="spellEnd"/>
            <w:r>
              <w:t xml:space="preserve">, 2004, p. 49) </w:t>
            </w:r>
          </w:p>
          <w:p w:rsidR="00904326" w:rsidRDefault="00904326" w:rsidP="00725312">
            <w:r>
              <w:t xml:space="preserve">Esta cita la añadí como información, junto a una corta explicación de los saberes con miras a que quedara más claro.  </w:t>
            </w:r>
          </w:p>
        </w:tc>
      </w:tr>
      <w:tr w:rsidR="00904326" w:rsidTr="00F46038">
        <w:trPr>
          <w:trHeight w:val="243"/>
        </w:trPr>
        <w:tc>
          <w:tcPr>
            <w:tcW w:w="577" w:type="pct"/>
            <w:vMerge/>
            <w:tcBorders>
              <w:left w:val="single" w:sz="12" w:space="0" w:color="auto"/>
            </w:tcBorders>
            <w:shd w:val="clear" w:color="auto" w:fill="EAF1DD" w:themeFill="accent3" w:themeFillTint="33"/>
          </w:tcPr>
          <w:p w:rsidR="00904326" w:rsidRDefault="00904326" w:rsidP="00725312"/>
        </w:tc>
        <w:tc>
          <w:tcPr>
            <w:tcW w:w="1555" w:type="pct"/>
          </w:tcPr>
          <w:p w:rsidR="00904326" w:rsidRPr="002D300D" w:rsidRDefault="00904326" w:rsidP="00725312">
            <w:r w:rsidRPr="008E2317">
              <w:t xml:space="preserve">¿Y si pusieses algo así como los saberes profesionales propios de su actividad provienen de diferentes aspectos vitales? Coincido con Raquel que no se entienden demasiado bien las proposiciones que resultan de unir los conceptos y los </w:t>
            </w:r>
            <w:r w:rsidRPr="008E2317">
              <w:lastRenderedPageBreak/>
              <w:t>conectores</w:t>
            </w:r>
            <w:r>
              <w:t>.</w:t>
            </w:r>
          </w:p>
        </w:tc>
        <w:tc>
          <w:tcPr>
            <w:tcW w:w="2868" w:type="pct"/>
            <w:tcBorders>
              <w:right w:val="single" w:sz="12" w:space="0" w:color="auto"/>
            </w:tcBorders>
          </w:tcPr>
          <w:p w:rsidR="00904326" w:rsidRDefault="00904326" w:rsidP="00725312">
            <w:r>
              <w:lastRenderedPageBreak/>
              <w:t xml:space="preserve">Mar, tuve en cuenta sus recomendaciones y puedes ver lo que puse en el comentario que hice a Raquel. </w:t>
            </w:r>
          </w:p>
        </w:tc>
      </w:tr>
      <w:tr w:rsidR="00904326" w:rsidTr="00F46038">
        <w:trPr>
          <w:trHeight w:val="243"/>
        </w:trPr>
        <w:tc>
          <w:tcPr>
            <w:tcW w:w="577" w:type="pct"/>
            <w:vMerge/>
            <w:tcBorders>
              <w:left w:val="single" w:sz="12" w:space="0" w:color="auto"/>
            </w:tcBorders>
            <w:shd w:val="clear" w:color="auto" w:fill="EAF1DD" w:themeFill="accent3" w:themeFillTint="33"/>
          </w:tcPr>
          <w:p w:rsidR="00904326" w:rsidRDefault="00904326" w:rsidP="00725312"/>
        </w:tc>
        <w:tc>
          <w:tcPr>
            <w:tcW w:w="1555" w:type="pct"/>
            <w:tcBorders>
              <w:bottom w:val="single" w:sz="12" w:space="0" w:color="auto"/>
            </w:tcBorders>
          </w:tcPr>
          <w:p w:rsidR="00904326" w:rsidRPr="008E2317" w:rsidRDefault="00904326" w:rsidP="00725312">
            <w:r>
              <w:t>M</w:t>
            </w:r>
            <w:r w:rsidRPr="00F23E9B">
              <w:t xml:space="preserve">e gusta esta parte, a ver si la puedo incorporar a mi mapa, con alguna flecha de </w:t>
            </w:r>
            <w:r>
              <w:t>“</w:t>
            </w:r>
            <w:r w:rsidRPr="00F23E9B">
              <w:t>longitud infinita</w:t>
            </w:r>
            <w:r>
              <w:t>”.</w:t>
            </w:r>
          </w:p>
        </w:tc>
        <w:tc>
          <w:tcPr>
            <w:tcW w:w="2868" w:type="pct"/>
            <w:tcBorders>
              <w:bottom w:val="single" w:sz="12" w:space="0" w:color="auto"/>
              <w:right w:val="single" w:sz="12" w:space="0" w:color="auto"/>
            </w:tcBorders>
          </w:tcPr>
          <w:p w:rsidR="00904326" w:rsidRDefault="00904326" w:rsidP="00725312"/>
        </w:tc>
      </w:tr>
      <w:tr w:rsidR="008128CE" w:rsidTr="00F46038">
        <w:trPr>
          <w:trHeight w:val="540"/>
        </w:trPr>
        <w:tc>
          <w:tcPr>
            <w:tcW w:w="577" w:type="pct"/>
            <w:vMerge w:val="restart"/>
            <w:tcBorders>
              <w:top w:val="single" w:sz="12" w:space="0" w:color="auto"/>
              <w:left w:val="single" w:sz="12" w:space="0" w:color="auto"/>
            </w:tcBorders>
            <w:shd w:val="clear" w:color="auto" w:fill="D6E3BC" w:themeFill="accent3" w:themeFillTint="66"/>
          </w:tcPr>
          <w:p w:rsidR="008128CE" w:rsidRPr="00F46038" w:rsidRDefault="008128CE" w:rsidP="00725312">
            <w:pPr>
              <w:rPr>
                <w:b/>
              </w:rPr>
            </w:pPr>
            <w:r w:rsidRPr="00F46038">
              <w:rPr>
                <w:b/>
              </w:rPr>
              <w:t xml:space="preserve">Fátima </w:t>
            </w:r>
            <w:proofErr w:type="spellStart"/>
            <w:r w:rsidRPr="00F46038">
              <w:rPr>
                <w:b/>
              </w:rPr>
              <w:t>Bazaga</w:t>
            </w:r>
            <w:proofErr w:type="spellEnd"/>
          </w:p>
        </w:tc>
        <w:tc>
          <w:tcPr>
            <w:tcW w:w="1555" w:type="pct"/>
            <w:tcBorders>
              <w:top w:val="single" w:sz="12" w:space="0" w:color="auto"/>
            </w:tcBorders>
          </w:tcPr>
          <w:p w:rsidR="008128CE" w:rsidRDefault="008128CE" w:rsidP="00725312">
            <w:r w:rsidRPr="00601585">
              <w:t>Creo que estas dos ideas deberían ir relacionadas con el profesor.</w:t>
            </w:r>
          </w:p>
        </w:tc>
        <w:tc>
          <w:tcPr>
            <w:tcW w:w="2868" w:type="pct"/>
            <w:tcBorders>
              <w:top w:val="single" w:sz="12" w:space="0" w:color="auto"/>
              <w:right w:val="single" w:sz="12" w:space="0" w:color="auto"/>
            </w:tcBorders>
          </w:tcPr>
          <w:p w:rsidR="008128CE" w:rsidRDefault="008128CE" w:rsidP="00725312">
            <w:r>
              <w:t xml:space="preserve">Gracias Fátima, creo que ya están relacionadas pues  están dirigidas jerárquicamente así: </w:t>
            </w:r>
            <w:r w:rsidRPr="00601585">
              <w:rPr>
                <w:i/>
              </w:rPr>
              <w:t>papel del profesor</w:t>
            </w:r>
            <w:r>
              <w:t xml:space="preserve">- es un </w:t>
            </w:r>
            <w:r>
              <w:rPr>
                <w:i/>
              </w:rPr>
              <w:t xml:space="preserve">profesional- </w:t>
            </w:r>
            <w:r>
              <w:t xml:space="preserve">que realiza </w:t>
            </w:r>
            <w:r w:rsidRPr="00F23E9B">
              <w:rPr>
                <w:i/>
              </w:rPr>
              <w:t>práctica profesional</w:t>
            </w:r>
            <w:r>
              <w:t xml:space="preserve">- procurando </w:t>
            </w:r>
            <w:r w:rsidRPr="00F23E9B">
              <w:rPr>
                <w:i/>
              </w:rPr>
              <w:t>formación de sujetos</w:t>
            </w:r>
            <w:r>
              <w:t xml:space="preserve"> y </w:t>
            </w:r>
            <w:r w:rsidRPr="00F23E9B">
              <w:rPr>
                <w:i/>
              </w:rPr>
              <w:t>construcción de saber</w:t>
            </w:r>
            <w:r>
              <w:rPr>
                <w:i/>
              </w:rPr>
              <w:t xml:space="preserve">. </w:t>
            </w:r>
          </w:p>
        </w:tc>
      </w:tr>
      <w:tr w:rsidR="008128CE" w:rsidTr="00F46038">
        <w:trPr>
          <w:trHeight w:val="540"/>
        </w:trPr>
        <w:tc>
          <w:tcPr>
            <w:tcW w:w="577" w:type="pct"/>
            <w:vMerge/>
            <w:tcBorders>
              <w:left w:val="single" w:sz="12" w:space="0" w:color="auto"/>
              <w:bottom w:val="single" w:sz="12" w:space="0" w:color="auto"/>
            </w:tcBorders>
            <w:shd w:val="clear" w:color="auto" w:fill="D6E3BC" w:themeFill="accent3" w:themeFillTint="66"/>
          </w:tcPr>
          <w:p w:rsidR="008128CE" w:rsidRPr="00F46038" w:rsidRDefault="008128CE" w:rsidP="00725312">
            <w:pPr>
              <w:rPr>
                <w:b/>
              </w:rPr>
            </w:pPr>
          </w:p>
        </w:tc>
        <w:tc>
          <w:tcPr>
            <w:tcW w:w="1555" w:type="pct"/>
            <w:tcBorders>
              <w:bottom w:val="single" w:sz="12" w:space="0" w:color="auto"/>
            </w:tcBorders>
          </w:tcPr>
          <w:p w:rsidR="008128CE" w:rsidRPr="00601585" w:rsidRDefault="008128CE" w:rsidP="00725312">
            <w:r>
              <w:t>P</w:t>
            </w:r>
            <w:r w:rsidRPr="008128CE">
              <w:t>odrías relacionar las ideas previas del alumnado con el aprendizaje significativo, parecen dos conceptos sin relación.</w:t>
            </w:r>
          </w:p>
        </w:tc>
        <w:tc>
          <w:tcPr>
            <w:tcW w:w="2868" w:type="pct"/>
            <w:tcBorders>
              <w:bottom w:val="single" w:sz="12" w:space="0" w:color="auto"/>
              <w:right w:val="single" w:sz="12" w:space="0" w:color="auto"/>
            </w:tcBorders>
          </w:tcPr>
          <w:p w:rsidR="008128CE" w:rsidRDefault="008128CE" w:rsidP="00725312">
            <w:r>
              <w:t>Si, Fátima, tienes razón. Y lo voy a cambiar con base en las relaciones que propusiste en tu mapa para este aspecto</w:t>
            </w:r>
            <w:r w:rsidR="002D300D">
              <w:t xml:space="preserve"> que me pareció muy interesante y útil</w:t>
            </w:r>
            <w:r>
              <w:t xml:space="preserve">. </w:t>
            </w:r>
          </w:p>
        </w:tc>
      </w:tr>
      <w:tr w:rsidR="00AD2430" w:rsidTr="00F46038">
        <w:trPr>
          <w:trHeight w:val="204"/>
        </w:trPr>
        <w:tc>
          <w:tcPr>
            <w:tcW w:w="577" w:type="pct"/>
            <w:vMerge w:val="restart"/>
            <w:tcBorders>
              <w:top w:val="single" w:sz="12" w:space="0" w:color="auto"/>
              <w:left w:val="single" w:sz="12" w:space="0" w:color="auto"/>
            </w:tcBorders>
            <w:shd w:val="clear" w:color="auto" w:fill="C2D69B" w:themeFill="accent3" w:themeFillTint="99"/>
          </w:tcPr>
          <w:p w:rsidR="00AD2430" w:rsidRPr="00F46038" w:rsidRDefault="00AD2430" w:rsidP="00725312">
            <w:pPr>
              <w:rPr>
                <w:b/>
              </w:rPr>
            </w:pPr>
            <w:r w:rsidRPr="00F46038">
              <w:rPr>
                <w:b/>
              </w:rPr>
              <w:t>Lidia Flores</w:t>
            </w:r>
          </w:p>
        </w:tc>
        <w:tc>
          <w:tcPr>
            <w:tcW w:w="1555" w:type="pct"/>
            <w:tcBorders>
              <w:top w:val="single" w:sz="12" w:space="0" w:color="auto"/>
            </w:tcBorders>
          </w:tcPr>
          <w:p w:rsidR="00AD2430" w:rsidRDefault="00AD2430" w:rsidP="00725312">
            <w:r>
              <w:t>E</w:t>
            </w:r>
            <w:r w:rsidRPr="00AD2430">
              <w:t>l fondo quizás es demasiado oscuro, más claro facilitaría la visualización del mapa.</w:t>
            </w:r>
          </w:p>
        </w:tc>
        <w:tc>
          <w:tcPr>
            <w:tcW w:w="2868" w:type="pct"/>
            <w:tcBorders>
              <w:top w:val="single" w:sz="12" w:space="0" w:color="auto"/>
              <w:right w:val="single" w:sz="12" w:space="0" w:color="auto"/>
            </w:tcBorders>
          </w:tcPr>
          <w:p w:rsidR="00AD2430" w:rsidRDefault="00AD2430" w:rsidP="00725312">
            <w:r>
              <w:t>Gracias</w:t>
            </w:r>
            <w:r w:rsidR="008128CE">
              <w:t xml:space="preserve"> Lidia</w:t>
            </w:r>
            <w:r>
              <w:t>. Lo cambié en la versión final, espero la visualización se facilite.</w:t>
            </w:r>
          </w:p>
        </w:tc>
      </w:tr>
      <w:tr w:rsidR="00AD2430" w:rsidTr="00F46038">
        <w:trPr>
          <w:trHeight w:val="202"/>
        </w:trPr>
        <w:tc>
          <w:tcPr>
            <w:tcW w:w="577" w:type="pct"/>
            <w:vMerge/>
            <w:tcBorders>
              <w:left w:val="single" w:sz="12" w:space="0" w:color="auto"/>
              <w:bottom w:val="single" w:sz="12" w:space="0" w:color="auto"/>
            </w:tcBorders>
            <w:shd w:val="clear" w:color="auto" w:fill="C2D69B" w:themeFill="accent3" w:themeFillTint="99"/>
          </w:tcPr>
          <w:p w:rsidR="00AD2430" w:rsidRPr="00F46038" w:rsidRDefault="00AD2430" w:rsidP="00725312">
            <w:pPr>
              <w:rPr>
                <w:b/>
              </w:rPr>
            </w:pPr>
          </w:p>
        </w:tc>
        <w:tc>
          <w:tcPr>
            <w:tcW w:w="1555" w:type="pct"/>
            <w:tcBorders>
              <w:bottom w:val="single" w:sz="12" w:space="0" w:color="auto"/>
            </w:tcBorders>
          </w:tcPr>
          <w:p w:rsidR="00AD2430" w:rsidRDefault="00AD2430" w:rsidP="00725312">
            <w:r>
              <w:t>D</w:t>
            </w:r>
            <w:r w:rsidRPr="00AD2430">
              <w:t>eberías haberte centrado más en la parte educativa y en relación a los alumnos.</w:t>
            </w:r>
          </w:p>
        </w:tc>
        <w:tc>
          <w:tcPr>
            <w:tcW w:w="2868" w:type="pct"/>
            <w:tcBorders>
              <w:bottom w:val="single" w:sz="12" w:space="0" w:color="auto"/>
              <w:right w:val="single" w:sz="12" w:space="0" w:color="auto"/>
            </w:tcBorders>
          </w:tcPr>
          <w:p w:rsidR="00AD2430" w:rsidRDefault="00AD2430" w:rsidP="00725312">
            <w:r>
              <w:t xml:space="preserve">Bueno, es que considero que la parte educativa del  profesor </w:t>
            </w:r>
            <w:r w:rsidR="00045B71">
              <w:t xml:space="preserve">implica ver otras aristas obviadas, por ejemplo, </w:t>
            </w:r>
            <w:r>
              <w:t>no</w:t>
            </w:r>
            <w:r w:rsidR="00045B71">
              <w:t xml:space="preserve"> sólo verlo como</w:t>
            </w:r>
            <w:r>
              <w:t xml:space="preserve"> un aplicador</w:t>
            </w:r>
            <w:r w:rsidR="00045B71">
              <w:t xml:space="preserve"> de técnicas y mucho menos un transmisor (lo que hace un guía)</w:t>
            </w:r>
            <w:r>
              <w:t>, sino un profesional</w:t>
            </w:r>
            <w:r w:rsidR="00045B71">
              <w:t xml:space="preserve">, que construye un conocimiento particular (diferente a la de otras profesiones, por eso enseñar no es fácil y tampoco cualquier “experto” puede ser profesor), por eso opté también por rescatar sus saberes y algo de la epistemología de estos.  </w:t>
            </w:r>
          </w:p>
        </w:tc>
      </w:tr>
      <w:tr w:rsidR="00AD2430" w:rsidTr="00F46038">
        <w:tc>
          <w:tcPr>
            <w:tcW w:w="577" w:type="pct"/>
            <w:tcBorders>
              <w:top w:val="single" w:sz="12" w:space="0" w:color="auto"/>
              <w:left w:val="single" w:sz="12" w:space="0" w:color="auto"/>
              <w:bottom w:val="single" w:sz="12" w:space="0" w:color="auto"/>
            </w:tcBorders>
            <w:shd w:val="clear" w:color="auto" w:fill="76923C" w:themeFill="accent3" w:themeFillShade="BF"/>
          </w:tcPr>
          <w:p w:rsidR="00AD2430" w:rsidRPr="00F46038" w:rsidRDefault="00AD2430" w:rsidP="00725312">
            <w:pPr>
              <w:rPr>
                <w:b/>
              </w:rPr>
            </w:pPr>
            <w:r w:rsidRPr="00F46038">
              <w:rPr>
                <w:b/>
              </w:rPr>
              <w:t>Raquel Muñoz</w:t>
            </w:r>
          </w:p>
        </w:tc>
        <w:tc>
          <w:tcPr>
            <w:tcW w:w="1555" w:type="pct"/>
            <w:tcBorders>
              <w:top w:val="single" w:sz="12" w:space="0" w:color="auto"/>
              <w:bottom w:val="single" w:sz="12" w:space="0" w:color="auto"/>
            </w:tcBorders>
          </w:tcPr>
          <w:p w:rsidR="002D300D" w:rsidRDefault="002D300D" w:rsidP="00725312">
            <w:r>
              <w:t>No entiendo esta proposición, "los saberes profesionales propios de su actividad" apoyan el aprendizaje</w:t>
            </w:r>
            <w:proofErr w:type="gramStart"/>
            <w:r>
              <w:t>?</w:t>
            </w:r>
            <w:proofErr w:type="gramEnd"/>
            <w:r>
              <w:t xml:space="preserve"> </w:t>
            </w:r>
          </w:p>
          <w:p w:rsidR="00AD2430" w:rsidRDefault="002D300D" w:rsidP="00725312">
            <w:r>
              <w:t>No entiendo qué quieres decir, podrías ponerlo más claro.</w:t>
            </w:r>
          </w:p>
        </w:tc>
        <w:tc>
          <w:tcPr>
            <w:tcW w:w="2868" w:type="pct"/>
            <w:tcBorders>
              <w:top w:val="single" w:sz="12" w:space="0" w:color="auto"/>
              <w:bottom w:val="single" w:sz="12" w:space="0" w:color="auto"/>
              <w:right w:val="single" w:sz="12" w:space="0" w:color="auto"/>
            </w:tcBorders>
          </w:tcPr>
          <w:p w:rsidR="00AD2430" w:rsidRDefault="00D86F07" w:rsidP="00725312">
            <w:r>
              <w:t xml:space="preserve">Gracias Raquel por esta observación. Aunque creo que la dirección de la flecha es clara, porque va de aprendizajes hacia saberes profesionales, con un conector de </w:t>
            </w:r>
            <w:r w:rsidRPr="00D86F07">
              <w:rPr>
                <w:i/>
              </w:rPr>
              <w:t>aportan a</w:t>
            </w:r>
            <w:r>
              <w:t xml:space="preserve">. Aún así, añadí esto para que se entienda un poco más que los aprendizajes en la enseñanza aportan a la construcción del saber docente: </w:t>
            </w:r>
            <w:r w:rsidRPr="008E2317">
              <w:t xml:space="preserve">"TAL COMO YA HABÍA ANUNCIADO MARX, toda </w:t>
            </w:r>
            <w:r w:rsidRPr="008E2317">
              <w:rPr>
                <w:i/>
              </w:rPr>
              <w:t>praxis</w:t>
            </w:r>
            <w:r w:rsidRPr="008E2317">
              <w:t xml:space="preserve"> social es, en cierto modo, un </w:t>
            </w:r>
            <w:r w:rsidRPr="008E2317">
              <w:rPr>
                <w:i/>
              </w:rPr>
              <w:t>trabajo</w:t>
            </w:r>
            <w:r w:rsidRPr="008E2317">
              <w:t xml:space="preserve"> cuyo proceso de realización desencadena una transformación real en el trabajador. [...] Si una persona enseña durante treinta años, no sólo hace algo, sino que hace algo de sí misma: su identidad asume las señales de su propia actividad y una parte importante de su existencia se caracteriza por su actuación profesional." (</w:t>
            </w:r>
            <w:proofErr w:type="spellStart"/>
            <w:r w:rsidRPr="008E2317">
              <w:t>Tardif</w:t>
            </w:r>
            <w:proofErr w:type="spellEnd"/>
            <w:r w:rsidRPr="008E2317">
              <w:t>, 2004, p. 42)</w:t>
            </w:r>
          </w:p>
        </w:tc>
      </w:tr>
      <w:tr w:rsidR="00725312" w:rsidTr="00F46038">
        <w:tc>
          <w:tcPr>
            <w:tcW w:w="577" w:type="pct"/>
            <w:tcBorders>
              <w:top w:val="single" w:sz="12" w:space="0" w:color="auto"/>
              <w:left w:val="single" w:sz="12" w:space="0" w:color="auto"/>
              <w:bottom w:val="single" w:sz="12" w:space="0" w:color="auto"/>
            </w:tcBorders>
            <w:shd w:val="clear" w:color="auto" w:fill="4F6228" w:themeFill="accent3" w:themeFillShade="80"/>
          </w:tcPr>
          <w:p w:rsidR="00725312" w:rsidRPr="00F46038" w:rsidRDefault="00725312" w:rsidP="00725312">
            <w:pPr>
              <w:rPr>
                <w:b/>
              </w:rPr>
            </w:pPr>
            <w:r w:rsidRPr="00F46038">
              <w:rPr>
                <w:b/>
              </w:rPr>
              <w:t xml:space="preserve">José Pablo Vargas </w:t>
            </w:r>
            <w:proofErr w:type="spellStart"/>
            <w:r w:rsidRPr="00F46038">
              <w:rPr>
                <w:b/>
              </w:rPr>
              <w:t>Vargas</w:t>
            </w:r>
            <w:proofErr w:type="spellEnd"/>
          </w:p>
        </w:tc>
        <w:tc>
          <w:tcPr>
            <w:tcW w:w="1555" w:type="pct"/>
            <w:tcBorders>
              <w:top w:val="single" w:sz="12" w:space="0" w:color="auto"/>
              <w:bottom w:val="single" w:sz="12" w:space="0" w:color="auto"/>
            </w:tcBorders>
          </w:tcPr>
          <w:p w:rsidR="00725312" w:rsidRDefault="00725312" w:rsidP="00725312">
            <w:r w:rsidRPr="00725312">
              <w:t>Como "sujeto y actor social" pienso que podría escribir de que maneras se relaciona con el estudiantado y con los compañeros, de qué formas interacciona con ellos</w:t>
            </w:r>
          </w:p>
        </w:tc>
        <w:tc>
          <w:tcPr>
            <w:tcW w:w="2868" w:type="pct"/>
            <w:tcBorders>
              <w:top w:val="single" w:sz="12" w:space="0" w:color="auto"/>
              <w:bottom w:val="single" w:sz="12" w:space="0" w:color="auto"/>
              <w:right w:val="single" w:sz="12" w:space="0" w:color="auto"/>
            </w:tcBorders>
          </w:tcPr>
          <w:p w:rsidR="00725312" w:rsidRDefault="00725312" w:rsidP="00725312">
            <w:r>
              <w:t xml:space="preserve">Gracias Pablo. Ya lo completé en el mapa en la parte </w:t>
            </w:r>
            <w:r w:rsidR="00BA559D">
              <w:t>de la “enseñanza”.</w:t>
            </w:r>
          </w:p>
        </w:tc>
      </w:tr>
    </w:tbl>
    <w:p w:rsidR="00F515EC" w:rsidRPr="00F515EC" w:rsidRDefault="00F515EC" w:rsidP="00725312">
      <w:pPr>
        <w:rPr>
          <w:rStyle w:val="SubttuloCar"/>
          <w:rFonts w:ascii="Calibri" w:hAnsi="Calibri"/>
          <w:b/>
          <w:i/>
        </w:rPr>
      </w:pPr>
      <w:bookmarkStart w:id="0" w:name="_Toc242475369"/>
      <w:r w:rsidRPr="00F515EC">
        <w:rPr>
          <w:rStyle w:val="SubttuloCar"/>
          <w:rFonts w:ascii="Calibri" w:hAnsi="Calibri"/>
          <w:b/>
          <w:i/>
        </w:rPr>
        <w:lastRenderedPageBreak/>
        <w:t>Comentarios añadidos como información adicional en el mapa</w:t>
      </w:r>
    </w:p>
    <w:p w:rsidR="00F515EC" w:rsidRPr="00F515EC" w:rsidRDefault="00F515EC" w:rsidP="00725312">
      <w:pPr>
        <w:rPr>
          <w:rStyle w:val="SubttuloCar"/>
          <w:rFonts w:ascii="Calibri" w:hAnsi="Calibri"/>
          <w:b/>
          <w:i/>
        </w:rPr>
      </w:pPr>
    </w:p>
    <w:p w:rsidR="00725312" w:rsidRPr="00EA3590" w:rsidRDefault="00725312" w:rsidP="00725312">
      <w:r w:rsidRPr="00EA3590">
        <w:rPr>
          <w:rStyle w:val="SubttuloCar"/>
          <w:rFonts w:ascii="Calibri" w:hAnsi="Calibri"/>
          <w:b/>
        </w:rPr>
        <w:t>Saberes de la formación profesional</w:t>
      </w:r>
      <w:bookmarkEnd w:id="0"/>
      <w:r w:rsidRPr="00074CB7">
        <w:rPr>
          <w:b/>
          <w:noProof/>
        </w:rPr>
        <w:t xml:space="preserve">: </w:t>
      </w:r>
      <w:r w:rsidRPr="00EA3590">
        <w:t>se refieren a los saberes que son transmitidos por las instituciones de formación del profesorado. También hacen parte de estos saberes los saberes pedagógicos que “se presentan como doctrinas o concepciones provenientes de reflexiones sobre la práctica educativa, en el sentido amplio del término, reflexiones racionales y normativas que conducen a sistemas más o menos coherentes de representación y de orientación de la actividad educativa” (</w:t>
      </w:r>
      <w:proofErr w:type="spellStart"/>
      <w:r w:rsidRPr="00EA3590">
        <w:t>Tardif</w:t>
      </w:r>
      <w:proofErr w:type="spellEnd"/>
      <w:r w:rsidRPr="00EA3590">
        <w:t xml:space="preserve">, 2004, p. 29) Estas doctrinas o concepciones se vinculan a la formación profesional de </w:t>
      </w:r>
      <w:proofErr w:type="spellStart"/>
      <w:r w:rsidRPr="00EA3590">
        <w:t>lo</w:t>
      </w:r>
      <w:proofErr w:type="spellEnd"/>
      <w:r w:rsidRPr="00EA3590">
        <w:t xml:space="preserve"> profesores, aportando al armazón ideológico y a formas de saber hacer. Estos saberes pedagógicos se articulan con las ciencias de la educación para ser legitimados. (</w:t>
      </w:r>
      <w:proofErr w:type="spellStart"/>
      <w:r w:rsidRPr="00EA3590">
        <w:t>Tardif</w:t>
      </w:r>
      <w:proofErr w:type="spellEnd"/>
      <w:r w:rsidRPr="00EA3590">
        <w:t>, 2004)</w:t>
      </w:r>
    </w:p>
    <w:p w:rsidR="00725312" w:rsidRPr="00ED6720" w:rsidRDefault="00725312" w:rsidP="00725312">
      <w:pPr>
        <w:rPr>
          <w:noProof/>
        </w:rPr>
      </w:pPr>
    </w:p>
    <w:p w:rsidR="00725312" w:rsidRPr="00ED6720" w:rsidRDefault="00725312" w:rsidP="00725312">
      <w:pPr>
        <w:rPr>
          <w:noProof/>
        </w:rPr>
      </w:pPr>
      <w:bookmarkStart w:id="1" w:name="_Toc242475370"/>
      <w:r w:rsidRPr="00074CB7">
        <w:rPr>
          <w:rStyle w:val="SubttuloCar"/>
          <w:rFonts w:ascii="Calibri" w:hAnsi="Calibri"/>
          <w:b/>
        </w:rPr>
        <w:t>Saberes disciplinarios</w:t>
      </w:r>
      <w:bookmarkEnd w:id="1"/>
      <w:r w:rsidRPr="00ED6720">
        <w:rPr>
          <w:b/>
          <w:noProof/>
        </w:rPr>
        <w:t xml:space="preserve">: </w:t>
      </w:r>
      <w:r w:rsidRPr="00ED6720">
        <w:rPr>
          <w:noProof/>
        </w:rPr>
        <w:t>“son los saberes de que dispone nuestra sociedad que corresponden a los diversos campos del conocimiento, en forma de disciplinas” (Tardif, 2004, p. 30) Estos saberes son adquiridos durante la formación profesional y son seleccionados por la institución formadora pero emergen de los grupos sociales productores de saberes. (Tardif, 2004)</w:t>
      </w:r>
    </w:p>
    <w:p w:rsidR="00725312" w:rsidRPr="00ED6720" w:rsidRDefault="00725312" w:rsidP="00725312">
      <w:pPr>
        <w:rPr>
          <w:noProof/>
        </w:rPr>
      </w:pPr>
    </w:p>
    <w:p w:rsidR="00725312" w:rsidRPr="00ED6720" w:rsidRDefault="00725312" w:rsidP="00725312">
      <w:pPr>
        <w:rPr>
          <w:noProof/>
        </w:rPr>
      </w:pPr>
      <w:bookmarkStart w:id="2" w:name="_Toc242475371"/>
      <w:r w:rsidRPr="00074CB7">
        <w:rPr>
          <w:rStyle w:val="SubttuloCar"/>
          <w:rFonts w:ascii="Calibri" w:hAnsi="Calibri"/>
          <w:b/>
        </w:rPr>
        <w:t>Saberes curriculares</w:t>
      </w:r>
      <w:bookmarkEnd w:id="2"/>
      <w:r w:rsidRPr="00ED6720">
        <w:rPr>
          <w:b/>
          <w:noProof/>
        </w:rPr>
        <w:t>:</w:t>
      </w:r>
      <w:r w:rsidRPr="00ED6720">
        <w:rPr>
          <w:noProof/>
        </w:rPr>
        <w:t xml:space="preserve"> Estos saberes están constituidos por todos aquellos elementos como métodos, objetivos, planteamientos, que le permiten a las intituciones escolares organizar, estructurar y seleccionar los saberes sociales que modelan la cultura erudita y necesarios en la formación para esa cultura. (Tardif, 2004)</w:t>
      </w:r>
    </w:p>
    <w:p w:rsidR="00725312" w:rsidRPr="00ED6720" w:rsidRDefault="00725312" w:rsidP="00725312">
      <w:pPr>
        <w:rPr>
          <w:noProof/>
        </w:rPr>
      </w:pPr>
    </w:p>
    <w:p w:rsidR="00725312" w:rsidRPr="00ED6720" w:rsidRDefault="00725312" w:rsidP="00725312">
      <w:pPr>
        <w:rPr>
          <w:noProof/>
        </w:rPr>
      </w:pPr>
      <w:bookmarkStart w:id="3" w:name="_Toc242475372"/>
      <w:r w:rsidRPr="00074CB7">
        <w:rPr>
          <w:rStyle w:val="SubttuloCar"/>
          <w:rFonts w:ascii="Calibri" w:hAnsi="Calibri"/>
          <w:b/>
        </w:rPr>
        <w:t>Saberes experienciales:</w:t>
      </w:r>
      <w:bookmarkEnd w:id="3"/>
      <w:r w:rsidRPr="00ED6720">
        <w:rPr>
          <w:b/>
          <w:noProof/>
        </w:rPr>
        <w:t xml:space="preserve"> </w:t>
      </w:r>
      <w:r w:rsidRPr="00ED6720">
        <w:rPr>
          <w:noProof/>
        </w:rPr>
        <w:t>Son todos los saberes que emergen durante su recorrido profesional, su cotidianidad, el medio en el que se desenvuelve el maestro, validados por la experiencia. Tardif (2004) los denomina “saberes experienciales o prácticos”  y se incorporan en ofrma de hábitos, formas de saber hacer y saber ser, y de enfrentar distintas situaciones.</w:t>
      </w:r>
    </w:p>
    <w:p w:rsidR="00725312" w:rsidRPr="00ED6720" w:rsidRDefault="00725312" w:rsidP="00725312">
      <w:pPr>
        <w:rPr>
          <w:noProof/>
        </w:rPr>
      </w:pPr>
    </w:p>
    <w:p w:rsidR="00D86F07" w:rsidRDefault="00D86F07" w:rsidP="00725312"/>
    <w:sectPr w:rsidR="00D86F07" w:rsidSect="00045B71">
      <w:pgSz w:w="15840" w:h="12240" w:orient="landscape"/>
      <w:pgMar w:top="1701" w:right="1417" w:bottom="1701"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AD2430"/>
    <w:rsid w:val="00045B71"/>
    <w:rsid w:val="00081B19"/>
    <w:rsid w:val="00104D2A"/>
    <w:rsid w:val="002D300D"/>
    <w:rsid w:val="004C344D"/>
    <w:rsid w:val="005E139E"/>
    <w:rsid w:val="00601585"/>
    <w:rsid w:val="0065009C"/>
    <w:rsid w:val="00725312"/>
    <w:rsid w:val="007B3DFD"/>
    <w:rsid w:val="007F222B"/>
    <w:rsid w:val="008128CE"/>
    <w:rsid w:val="00862643"/>
    <w:rsid w:val="008E2317"/>
    <w:rsid w:val="00904326"/>
    <w:rsid w:val="00AD2430"/>
    <w:rsid w:val="00BA559D"/>
    <w:rsid w:val="00C40FA0"/>
    <w:rsid w:val="00D86F07"/>
    <w:rsid w:val="00DA718A"/>
    <w:rsid w:val="00F23E9B"/>
    <w:rsid w:val="00F46038"/>
    <w:rsid w:val="00F515EC"/>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718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D24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semiHidden/>
    <w:unhideWhenUsed/>
    <w:rsid w:val="008E2317"/>
    <w:rPr>
      <w:color w:val="0000FF"/>
      <w:u w:val="single"/>
    </w:rPr>
  </w:style>
  <w:style w:type="paragraph" w:styleId="Subttulo">
    <w:name w:val="Subtitle"/>
    <w:basedOn w:val="Normal"/>
    <w:next w:val="Normal"/>
    <w:link w:val="SubttuloCar"/>
    <w:qFormat/>
    <w:rsid w:val="00725312"/>
    <w:pPr>
      <w:spacing w:after="60" w:line="276" w:lineRule="auto"/>
      <w:jc w:val="center"/>
      <w:outlineLvl w:val="1"/>
    </w:pPr>
    <w:rPr>
      <w:rFonts w:ascii="Cambria" w:eastAsia="SimSun" w:hAnsi="Cambria" w:cs="Times New Roman"/>
      <w:sz w:val="24"/>
      <w:szCs w:val="24"/>
      <w:lang w:val="es-ES_tradnl" w:eastAsia="zh-CN"/>
    </w:rPr>
  </w:style>
  <w:style w:type="character" w:customStyle="1" w:styleId="SubttuloCar">
    <w:name w:val="Subtítulo Car"/>
    <w:basedOn w:val="Fuentedeprrafopredeter"/>
    <w:link w:val="Subttulo"/>
    <w:rsid w:val="00725312"/>
    <w:rPr>
      <w:rFonts w:ascii="Cambria" w:eastAsia="SimSun" w:hAnsi="Cambria" w:cs="Times New Roman"/>
      <w:sz w:val="24"/>
      <w:szCs w:val="24"/>
      <w:lang w:val="es-ES_tradnl"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3</Pages>
  <Words>1031</Words>
  <Characters>5672</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6690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CAMILO</dc:creator>
  <cp:lastModifiedBy>CAMILO</cp:lastModifiedBy>
  <cp:revision>7</cp:revision>
  <dcterms:created xsi:type="dcterms:W3CDTF">2012-05-09T09:32:00Z</dcterms:created>
  <dcterms:modified xsi:type="dcterms:W3CDTF">2012-05-09T12:33:00Z</dcterms:modified>
</cp:coreProperties>
</file>